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3C2844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.2pt;height:1in" o:ole="" o:preferrelative="t" stroked="f">
                  <v:imagedata r:id="rId4" o:title=""/>
                </v:rect>
                <o:OLEObject Type="Embed" ProgID="StaticMetafile" ShapeID="rectole0000000000" DrawAspect="Content" ObjectID="_1844320451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5A11BE79" w14:textId="77777777" w:rsidR="00B23199" w:rsidRDefault="00B23199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l-GR"/>
        </w:rPr>
      </w:pPr>
    </w:p>
    <w:p w14:paraId="14A8EA80" w14:textId="584E975D" w:rsidR="00AE1082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247DA2C8" w14:textId="77777777" w:rsidR="00B23199" w:rsidRPr="00DC0545" w:rsidRDefault="00B23199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</w:p>
    <w:p w14:paraId="53CA2CFD" w14:textId="0725C74E" w:rsidR="002074B5" w:rsidRPr="007C1FCB" w:rsidRDefault="005E4AC8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Ο φοιτητής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του τμήματος ΗΜΜΥ 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κος </w:t>
      </w:r>
      <w:r w:rsidR="00070A5B" w:rsidRPr="00070A5B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="00B23199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Ευστράτιος Δεμερτζόγλου </w:t>
      </w:r>
      <w:r w:rsidR="007D0355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42D66C53" w14:textId="77777777" w:rsidR="00CC26C6" w:rsidRDefault="00CC26C6" w:rsidP="00B2319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2CD735" w14:textId="4451BC16" w:rsidR="002074B5" w:rsidRDefault="00DC0545" w:rsidP="005161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6308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23199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Μελέτη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και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Εφαρμογή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Τεχνικών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Ερμηνεύσιμης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  <w:lang w:val="el-GR"/>
        </w:rPr>
        <w:t>Τεχνητής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>Νοημοσύνης (Explainable Artificial Intelligence) στην Ανίχνευση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Ανωμαλιών με χρήση Μηχανικής 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>(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>Machine Learning)</w:t>
      </w:r>
      <w:r w:rsidR="004F6308" w:rsidRPr="004F63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3199" w:rsidRPr="00B23199">
        <w:rPr>
          <w:rFonts w:ascii="Times New Roman" w:eastAsia="Times New Roman" w:hAnsi="Times New Roman" w:cs="Times New Roman"/>
          <w:sz w:val="20"/>
          <w:szCs w:val="20"/>
        </w:rPr>
        <w:t>Research and Application of</w:t>
      </w:r>
      <w:r w:rsidR="00B231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3199" w:rsidRPr="00B23199">
        <w:rPr>
          <w:rFonts w:ascii="Times New Roman" w:eastAsia="Times New Roman" w:hAnsi="Times New Roman" w:cs="Times New Roman"/>
          <w:sz w:val="20"/>
          <w:szCs w:val="20"/>
        </w:rPr>
        <w:t>Explainable Artificial Intelligence (XAI)</w:t>
      </w:r>
      <w:r w:rsidR="00B231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3199" w:rsidRPr="00B23199">
        <w:rPr>
          <w:rFonts w:ascii="Times New Roman" w:eastAsia="Times New Roman" w:hAnsi="Times New Roman" w:cs="Times New Roman"/>
          <w:sz w:val="20"/>
          <w:szCs w:val="20"/>
        </w:rPr>
        <w:t>on Outlier Detection Models</w:t>
      </w:r>
      <w:r w:rsidR="00B231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3199" w:rsidRPr="00B23199">
        <w:rPr>
          <w:rFonts w:ascii="Times New Roman" w:eastAsia="Times New Roman" w:hAnsi="Times New Roman" w:cs="Times New Roman"/>
          <w:sz w:val="20"/>
          <w:szCs w:val="20"/>
        </w:rPr>
        <w:t>using Machine Learning</w:t>
      </w:r>
      <w:r w:rsidRPr="00B23199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6EDB74B1" w14:textId="77777777" w:rsidR="00CC26C6" w:rsidRPr="004F6308" w:rsidRDefault="00CC26C6" w:rsidP="00B2319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DF5267" w14:textId="2C439312" w:rsidR="002074B5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Πέμπτη</w:t>
      </w:r>
      <w:r w:rsidR="00E1725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2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/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7</w:t>
      </w:r>
      <w:r w:rsidR="006C4890" w:rsidRPr="006C4890">
        <w:rPr>
          <w:rFonts w:ascii="Times New Roman" w:eastAsia="Times New Roman" w:hAnsi="Times New Roman" w:cs="Times New Roman"/>
          <w:sz w:val="20"/>
          <w:szCs w:val="20"/>
          <w:lang w:val="el-GR"/>
        </w:rPr>
        <w:t>/2026</w:t>
      </w:r>
      <w:r w:rsidR="006C489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στις </w:t>
      </w:r>
      <w:r w:rsidR="00141096">
        <w:rPr>
          <w:rFonts w:ascii="Times New Roman" w:eastAsia="Times New Roman" w:hAnsi="Times New Roman" w:cs="Times New Roman"/>
          <w:sz w:val="20"/>
          <w:szCs w:val="20"/>
          <w:lang w:val="el-GR"/>
        </w:rPr>
        <w:t>10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.00</w:t>
      </w:r>
      <w:r w:rsidR="00B8111A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π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.μ.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μέσω Τηλεδιάσκεψης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στον ακόλουθο σύνδεσμο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:</w:t>
      </w:r>
    </w:p>
    <w:p w14:paraId="65FD5C54" w14:textId="256180ED" w:rsidR="00E17250" w:rsidRPr="00C26F90" w:rsidRDefault="00C26F90" w:rsidP="00E172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C26F90">
        <w:rPr>
          <w:rFonts w:ascii="Times New Roman" w:eastAsia="Times New Roman" w:hAnsi="Times New Roman" w:cs="Times New Roman"/>
          <w:sz w:val="20"/>
          <w:szCs w:val="20"/>
          <w:lang w:val="el-GR"/>
        </w:rPr>
        <w:t>https://vdc.hmu.gr/b/sot-jqd-i9k-msv</w:t>
      </w:r>
    </w:p>
    <w:p w14:paraId="5912E3D1" w14:textId="41AE570E" w:rsidR="003E323D" w:rsidRPr="00B23199" w:rsidRDefault="00B23199" w:rsidP="00B23199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</w:pP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Outlier detection, also known as anomaly detection, is a critical task in domains such as network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intrusion detection, financial fraud analysis, and industrial fault monitoring. Machine learning models have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demonstrated strong detection performance; however, the black-box nature of many algorithms limits their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adoption in high-stakes environments where explainability is mandated by regulatory frameworks such as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the EU AI Act and GDPR.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This thesis presents a systematic study of Explainable Artificial Intelligence (XAI) applied to five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anomaly detection models — Isolation Forest, Local Outlier Factor, Autoencoder, Decision Tree, and Random Forest — evaluated across three benchmark datasets: UNSW-NB15 (network intrusion), Credit Card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Fraud, and BAF NeurIPS 2022 (financial fraud). We apply model-appropriate XAI methods (TreeSHAP,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KernelSHAP, LIME, MDI, and DIFFI), and introduce nine experimental contributions including a direct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KernelSHAP fidelity analysis of LOF’s own scoring function, a formally defined Cross-Model Agreement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Score (CMAS), an XAI Consensus Score (CSK), SHAP anomaly signatures characterising the feature profiles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of flagged instances, an extension of Partial Dependence Plots and Individual Conditional Expectation curves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to the static batch anomaly-detection setting, and a systematic analysis of how hyperparameter choices affect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explanation quality independently of detection performance.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Results show that tree-based models (Random Forest, Decision Tree) achieve the highest detection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performance and SHAP–LIME consensus, while density-based and reconstruction models exhibit a fidelity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paradox wherein SHAP correctly explains a model that is near-random for the detection task. Our findings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offer practitioners concrete guidance on model–explainer selection and reveal fundamental limits of current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B23199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post-hoc XAI methods for unsupervised anomaly detection.</w:t>
      </w:r>
    </w:p>
    <w:p w14:paraId="4EF93048" w14:textId="77777777" w:rsidR="00B23199" w:rsidRPr="00B23199" w:rsidRDefault="00B23199" w:rsidP="003C2844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</w:pPr>
    </w:p>
    <w:p w14:paraId="4A8F6202" w14:textId="77777777" w:rsidR="003E323D" w:rsidRPr="00B23199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5BCA03" w14:textId="40A8A732" w:rsidR="002074B5" w:rsidRPr="007C1FCB" w:rsidRDefault="00DC0545" w:rsidP="00084E7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51ADC3E4" w14:textId="4247A4E6" w:rsidR="00B55B0E" w:rsidRDefault="008467AA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Σωτήριος Μπατσάκης</w:t>
      </w:r>
      <w:r w:rsidR="007C1FCB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, </w:t>
      </w:r>
    </w:p>
    <w:p w14:paraId="7DDA2524" w14:textId="7E2BF144" w:rsidR="002074B5" w:rsidRP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. </w:t>
      </w:r>
      <w:r w:rsidR="008467AA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Επίκουρος </w:t>
      </w: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κ</w:t>
      </w:r>
      <w:r w:rsidR="00DC0545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αθηγητής</w:t>
      </w:r>
    </w:p>
    <w:sectPr w:rsidR="002074B5" w:rsidRPr="00B55B0E" w:rsidSect="00B55B0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070A5B"/>
    <w:rsid w:val="00084E7B"/>
    <w:rsid w:val="000C177A"/>
    <w:rsid w:val="0013450E"/>
    <w:rsid w:val="00141096"/>
    <w:rsid w:val="002074B5"/>
    <w:rsid w:val="00281409"/>
    <w:rsid w:val="00290AD8"/>
    <w:rsid w:val="003C2844"/>
    <w:rsid w:val="003E1923"/>
    <w:rsid w:val="003E323D"/>
    <w:rsid w:val="004F6308"/>
    <w:rsid w:val="005161E3"/>
    <w:rsid w:val="005E4AC8"/>
    <w:rsid w:val="006C4890"/>
    <w:rsid w:val="00737A3D"/>
    <w:rsid w:val="007B3B38"/>
    <w:rsid w:val="007C1FCB"/>
    <w:rsid w:val="007D0355"/>
    <w:rsid w:val="008467AA"/>
    <w:rsid w:val="00915BC8"/>
    <w:rsid w:val="00926F27"/>
    <w:rsid w:val="00A04C8D"/>
    <w:rsid w:val="00AE1082"/>
    <w:rsid w:val="00AE5276"/>
    <w:rsid w:val="00B23199"/>
    <w:rsid w:val="00B40772"/>
    <w:rsid w:val="00B55B0E"/>
    <w:rsid w:val="00B8111A"/>
    <w:rsid w:val="00BE58DC"/>
    <w:rsid w:val="00C147A1"/>
    <w:rsid w:val="00C26F90"/>
    <w:rsid w:val="00CC26C6"/>
    <w:rsid w:val="00CE26BB"/>
    <w:rsid w:val="00DC0545"/>
    <w:rsid w:val="00E17250"/>
    <w:rsid w:val="00E45AFB"/>
    <w:rsid w:val="00FB1D13"/>
    <w:rsid w:val="00F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Batsakis Sotirios</cp:lastModifiedBy>
  <cp:revision>7</cp:revision>
  <dcterms:created xsi:type="dcterms:W3CDTF">2026-06-30T07:16:00Z</dcterms:created>
  <dcterms:modified xsi:type="dcterms:W3CDTF">2026-06-30T07:28:00Z</dcterms:modified>
</cp:coreProperties>
</file>